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kinsoku/>
        <w:wordWrap/>
        <w:overflowPunct/>
        <w:topLinePunct w:val="0"/>
        <w:autoSpaceDE/>
        <w:autoSpaceDN/>
        <w:bidi w:val="0"/>
        <w:spacing w:line="570" w:lineRule="exact"/>
        <w:ind w:right="-197" w:rightChars="-94"/>
        <w:jc w:val="center"/>
        <w:rPr>
          <w:rFonts w:hint="eastAsia" w:ascii="仿宋" w:hAnsi="仿宋" w:eastAsia="仿宋" w:cs="仿宋"/>
          <w:b/>
          <w:bCs w:val="0"/>
          <w:sz w:val="44"/>
          <w:szCs w:val="44"/>
        </w:rPr>
      </w:pPr>
      <w:r>
        <w:rPr>
          <w:rFonts w:hint="eastAsia" w:ascii="仿宋" w:hAnsi="仿宋" w:eastAsia="仿宋" w:cs="仿宋"/>
          <w:b/>
          <w:bCs w:val="0"/>
          <w:sz w:val="44"/>
          <w:szCs w:val="44"/>
        </w:rPr>
        <w:t>2018年英吉沙县孜勒乡深度贫困村整治项目</w:t>
      </w:r>
    </w:p>
    <w:p>
      <w:pPr>
        <w:pStyle w:val="5"/>
        <w:keepNext w:val="0"/>
        <w:keepLines w:val="0"/>
        <w:pageBreakBefore w:val="0"/>
        <w:widowControl/>
        <w:kinsoku/>
        <w:wordWrap/>
        <w:overflowPunct/>
        <w:topLinePunct w:val="0"/>
        <w:autoSpaceDE/>
        <w:autoSpaceDN/>
        <w:bidi w:val="0"/>
        <w:spacing w:line="570" w:lineRule="exact"/>
        <w:jc w:val="center"/>
        <w:rPr>
          <w:rStyle w:val="7"/>
          <w:rFonts w:hint="eastAsia" w:ascii="仿宋" w:hAnsi="仿宋" w:eastAsia="仿宋" w:cs="仿宋"/>
          <w:b/>
          <w:bCs w:val="0"/>
          <w:sz w:val="32"/>
          <w:szCs w:val="32"/>
        </w:rPr>
      </w:pPr>
      <w:r>
        <w:rPr>
          <w:rFonts w:hint="eastAsia" w:ascii="仿宋" w:hAnsi="仿宋" w:eastAsia="仿宋" w:cs="仿宋"/>
          <w:b/>
          <w:bCs w:val="0"/>
          <w:sz w:val="44"/>
          <w:szCs w:val="44"/>
        </w:rPr>
        <w:t>绩效自评报告</w:t>
      </w: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rPr>
          <w:rFonts w:hint="eastAsia" w:ascii="仿宋" w:hAnsi="仿宋" w:eastAsia="仿宋" w:cs="仿宋"/>
          <w:color w:val="000000"/>
          <w:sz w:val="32"/>
          <w:szCs w:val="32"/>
          <w:lang w:bidi="ar"/>
        </w:rPr>
      </w:pP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一、项目概况</w:t>
      </w:r>
    </w:p>
    <w:p>
      <w:pPr>
        <w:keepNext w:val="0"/>
        <w:keepLines w:val="0"/>
        <w:pageBreakBefore w:val="0"/>
        <w:kinsoku/>
        <w:wordWrap/>
        <w:overflowPunct/>
        <w:topLinePunct w:val="0"/>
        <w:autoSpaceDE/>
        <w:autoSpaceDN/>
        <w:bidi w:val="0"/>
        <w:spacing w:line="57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（一）项目单位基本情况</w:t>
      </w: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此次项目由克孜勒乡人民政府扶贫中心主办，由县扶贫开放领导小组主要指导，英吉沙县财政局农财股监督资金使用，全力配合，多方协同，共同完成此次资金使用。　</w:t>
      </w:r>
    </w:p>
    <w:p>
      <w:pPr>
        <w:keepNext w:val="0"/>
        <w:keepLines w:val="0"/>
        <w:pageBreakBefore w:val="0"/>
        <w:kinsoku/>
        <w:wordWrap/>
        <w:overflowPunct/>
        <w:topLinePunct w:val="0"/>
        <w:autoSpaceDE/>
        <w:autoSpaceDN/>
        <w:bidi w:val="0"/>
        <w:spacing w:line="57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（二）项目基本情况简介</w:t>
      </w:r>
    </w:p>
    <w:p>
      <w:pPr>
        <w:keepNext w:val="0"/>
        <w:keepLines w:val="0"/>
        <w:pageBreakBefore w:val="0"/>
        <w:kinsoku/>
        <w:wordWrap/>
        <w:overflowPunct/>
        <w:topLinePunct w:val="0"/>
        <w:autoSpaceDE/>
        <w:autoSpaceDN/>
        <w:bidi w:val="0"/>
        <w:spacing w:line="570" w:lineRule="exact"/>
        <w:ind w:left="1000" w:hanging="360"/>
        <w:rPr>
          <w:rFonts w:hint="eastAsia" w:ascii="仿宋" w:hAnsi="仿宋" w:eastAsia="仿宋" w:cs="仿宋"/>
          <w:color w:val="000000"/>
          <w:sz w:val="32"/>
          <w:szCs w:val="32"/>
        </w:rPr>
      </w:pPr>
      <w:r>
        <w:rPr>
          <w:rFonts w:hint="eastAsia" w:ascii="仿宋" w:hAnsi="仿宋" w:eastAsia="仿宋" w:cs="仿宋"/>
          <w:color w:val="000000"/>
          <w:sz w:val="32"/>
          <w:szCs w:val="32"/>
        </w:rPr>
        <w:t>1．项目用途和主要内容</w:t>
      </w: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为克孜勒乡12村、6村、10村、14村、建设农村小商铺，为9村和谐畜牧养殖合作社购置电力等附属设备，为5村建设公共浴室，切实提高农农村小商品服务业发展及基本公共服务，提高村民对扶智脱贫的积极性，使现有的人力，物力、财力得到最大化合理的运用。使有限的扶贫资金恰当的得以运用。</w:t>
      </w:r>
      <w:r>
        <w:rPr>
          <w:rFonts w:hint="eastAsia" w:ascii="仿宋" w:hAnsi="仿宋" w:eastAsia="仿宋" w:cs="仿宋"/>
          <w:color w:val="000000"/>
          <w:sz w:val="32"/>
          <w:szCs w:val="32"/>
          <w:lang w:bidi="ar"/>
        </w:rPr>
        <w:tab/>
      </w:r>
      <w:r>
        <w:rPr>
          <w:rFonts w:hint="eastAsia" w:ascii="仿宋" w:hAnsi="仿宋" w:eastAsia="仿宋" w:cs="仿宋"/>
          <w:color w:val="000000"/>
          <w:sz w:val="32"/>
          <w:szCs w:val="32"/>
          <w:lang w:bidi="ar"/>
        </w:rPr>
        <w:tab/>
      </w:r>
      <w:r>
        <w:rPr>
          <w:rFonts w:hint="eastAsia" w:ascii="仿宋" w:hAnsi="仿宋" w:eastAsia="仿宋" w:cs="仿宋"/>
          <w:color w:val="000000"/>
          <w:sz w:val="32"/>
          <w:szCs w:val="32"/>
          <w:lang w:bidi="ar"/>
        </w:rPr>
        <w:tab/>
      </w:r>
      <w:r>
        <w:rPr>
          <w:rFonts w:hint="eastAsia" w:ascii="仿宋" w:hAnsi="仿宋" w:eastAsia="仿宋" w:cs="仿宋"/>
          <w:color w:val="000000"/>
          <w:sz w:val="32"/>
          <w:szCs w:val="32"/>
          <w:lang w:bidi="ar"/>
        </w:rPr>
        <w:tab/>
      </w:r>
    </w:p>
    <w:p>
      <w:pPr>
        <w:keepNext w:val="0"/>
        <w:keepLines w:val="0"/>
        <w:pageBreakBefore w:val="0"/>
        <w:kinsoku/>
        <w:wordWrap/>
        <w:overflowPunct/>
        <w:topLinePunct w:val="0"/>
        <w:autoSpaceDE/>
        <w:autoSpaceDN/>
        <w:bidi w:val="0"/>
        <w:spacing w:line="570" w:lineRule="exact"/>
        <w:ind w:left="1000" w:hanging="360"/>
        <w:rPr>
          <w:rFonts w:hint="eastAsia" w:ascii="仿宋" w:hAnsi="仿宋" w:eastAsia="仿宋" w:cs="仿宋"/>
          <w:color w:val="000000"/>
          <w:sz w:val="32"/>
          <w:szCs w:val="32"/>
        </w:rPr>
      </w:pPr>
      <w:r>
        <w:rPr>
          <w:rFonts w:hint="eastAsia" w:ascii="仿宋" w:hAnsi="仿宋" w:eastAsia="仿宋" w:cs="仿宋"/>
          <w:color w:val="000000"/>
          <w:sz w:val="32"/>
          <w:szCs w:val="32"/>
        </w:rPr>
        <w:t>2．项目绩效总目标及阶段性目标</w:t>
      </w: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（1）项目绩效总目标</w:t>
      </w: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资金使用总额控制在58.88万元。通过合理的对财、物资源的投入使用，以双向受益为目的，降低成本。提高工作效率，更好的体现经济效益。五个村的公共基础设施建设面积约335平方米，为更多地惠及广大贫困户就业和提高“用双手劳动脱贫的”的思想认识形成了巨大的促进作用。使有限的扶贫资金恰当的得以运用。</w:t>
      </w: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（2）项目绩效阶段性目标</w:t>
      </w: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克孜勒乡12村、6村、10村、14村、建设农村小商铺，为9村和谐畜牧养殖合作社购置电力等附属设备，为5村建设公共浴室，切实改善了贫困户自助创业的积极性，让一批不能外出就业的贫困户在本村内可以增加收入，对后期的脱贫路径有了规划。</w:t>
      </w: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二、项目资金使用及管理情况</w:t>
      </w:r>
    </w:p>
    <w:p>
      <w:pPr>
        <w:keepNext w:val="0"/>
        <w:keepLines w:val="0"/>
        <w:pageBreakBefore w:val="0"/>
        <w:kinsoku/>
        <w:wordWrap/>
        <w:overflowPunct/>
        <w:topLinePunct w:val="0"/>
        <w:autoSpaceDE/>
        <w:autoSpaceDN/>
        <w:bidi w:val="0"/>
        <w:spacing w:line="57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（一）项目资金安排落实情况</w:t>
      </w: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2018年9月，2018年地区盘活资金58.88万元落实到位，并专款用于以下项目上。其中阿热库勒村，村委会小商店45平方米8.7万元，喀拉萨依村，新建一座商铺（7间）130平方米8.5万元，买里塔木村，建设餐厅40平方米6.0万元，乔木仑村，新建100平米公共浴室(洗澡间及配套设施）20.00万元，铁提尔美其特村，村村购买拖拉机5.9万元。为收割机购买设备0.18万元。</w:t>
      </w:r>
    </w:p>
    <w:p>
      <w:pPr>
        <w:keepNext w:val="0"/>
        <w:keepLines w:val="0"/>
        <w:pageBreakBefore w:val="0"/>
        <w:kinsoku/>
        <w:wordWrap/>
        <w:overflowPunct/>
        <w:topLinePunct w:val="0"/>
        <w:autoSpaceDE/>
        <w:autoSpaceDN/>
        <w:bidi w:val="0"/>
        <w:spacing w:line="57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（二）项目资金使用情况分析</w:t>
      </w: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960" w:firstLineChars="300"/>
        <w:rPr>
          <w:rFonts w:hint="eastAsia" w:ascii="仿宋" w:hAnsi="仿宋" w:eastAsia="仿宋" w:cs="仿宋"/>
          <w:color w:val="000000"/>
          <w:sz w:val="32"/>
          <w:szCs w:val="32"/>
          <w:lang w:bidi="ar"/>
        </w:rPr>
      </w:pPr>
      <w:r>
        <w:rPr>
          <w:rFonts w:hint="eastAsia" w:ascii="仿宋" w:hAnsi="仿宋" w:eastAsia="仿宋" w:cs="仿宋"/>
          <w:bCs/>
          <w:sz w:val="32"/>
          <w:szCs w:val="32"/>
        </w:rPr>
        <w:t>项目资金使用情况表</w:t>
      </w:r>
    </w:p>
    <w:tbl>
      <w:tblPr>
        <w:tblStyle w:val="8"/>
        <w:tblpPr w:leftFromText="180" w:rightFromText="180" w:vertAnchor="text" w:horzAnchor="page" w:tblpX="964" w:tblpY="284"/>
        <w:tblOverlap w:val="never"/>
        <w:tblW w:w="9925" w:type="dxa"/>
        <w:tblInd w:w="0" w:type="dxa"/>
        <w:tblLayout w:type="fixed"/>
        <w:tblCellMar>
          <w:top w:w="15" w:type="dxa"/>
          <w:left w:w="15" w:type="dxa"/>
          <w:bottom w:w="15" w:type="dxa"/>
          <w:right w:w="15" w:type="dxa"/>
        </w:tblCellMar>
      </w:tblPr>
      <w:tblGrid>
        <w:gridCol w:w="240"/>
        <w:gridCol w:w="1769"/>
        <w:gridCol w:w="4901"/>
        <w:gridCol w:w="1140"/>
        <w:gridCol w:w="1875"/>
      </w:tblGrid>
      <w:tr>
        <w:tblPrEx>
          <w:tblLayout w:type="fixed"/>
          <w:tblCellMar>
            <w:top w:w="15" w:type="dxa"/>
            <w:left w:w="15" w:type="dxa"/>
            <w:bottom w:w="15" w:type="dxa"/>
            <w:right w:w="15" w:type="dxa"/>
          </w:tblCellMar>
        </w:tblPrEx>
        <w:trPr>
          <w:trHeight w:val="540" w:hRule="atLeast"/>
        </w:trPr>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序号</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深度贫困村</w:t>
            </w:r>
          </w:p>
        </w:tc>
        <w:tc>
          <w:tcPr>
            <w:tcW w:w="4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申报公共项目类别及规模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项目投资（万元）</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项目负责人</w:t>
            </w:r>
          </w:p>
        </w:tc>
      </w:tr>
      <w:tr>
        <w:tblPrEx>
          <w:tblLayout w:type="fixed"/>
          <w:tblCellMar>
            <w:top w:w="15" w:type="dxa"/>
            <w:left w:w="15" w:type="dxa"/>
            <w:bottom w:w="15" w:type="dxa"/>
            <w:right w:w="15" w:type="dxa"/>
          </w:tblCellMar>
        </w:tblPrEx>
        <w:trPr>
          <w:trHeight w:val="840" w:hRule="atLeast"/>
        </w:trPr>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阿热库勒12村</w:t>
            </w:r>
          </w:p>
        </w:tc>
        <w:tc>
          <w:tcPr>
            <w:tcW w:w="4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村委会小商店45平方米</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8.70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tabs>
                <w:tab w:val="left" w:pos="596"/>
              </w:tabs>
              <w:kinsoku/>
              <w:wordWrap/>
              <w:overflowPunct/>
              <w:topLinePunct w:val="0"/>
              <w:autoSpaceDE/>
              <w:autoSpaceDN/>
              <w:bidi w:val="0"/>
              <w:spacing w:line="570" w:lineRule="exact"/>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村党工委书记/扶贫书记</w:t>
            </w:r>
          </w:p>
        </w:tc>
      </w:tr>
      <w:tr>
        <w:tblPrEx>
          <w:tblLayout w:type="fixed"/>
          <w:tblCellMar>
            <w:top w:w="15" w:type="dxa"/>
            <w:left w:w="15" w:type="dxa"/>
            <w:bottom w:w="15" w:type="dxa"/>
            <w:right w:w="15" w:type="dxa"/>
          </w:tblCellMar>
        </w:tblPrEx>
        <w:trPr>
          <w:trHeight w:val="840" w:hRule="atLeast"/>
        </w:trPr>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喀拉萨依10村</w:t>
            </w:r>
          </w:p>
        </w:tc>
        <w:tc>
          <w:tcPr>
            <w:tcW w:w="4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新建一座商铺（7间）130平方米</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8.50 </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村党工委书记/扶贫书记</w:t>
            </w:r>
          </w:p>
        </w:tc>
      </w:tr>
      <w:tr>
        <w:tblPrEx>
          <w:tblLayout w:type="fixed"/>
          <w:tblCellMar>
            <w:top w:w="15" w:type="dxa"/>
            <w:left w:w="15" w:type="dxa"/>
            <w:bottom w:w="15" w:type="dxa"/>
            <w:right w:w="15" w:type="dxa"/>
          </w:tblCellMar>
        </w:tblPrEx>
        <w:trPr>
          <w:trHeight w:val="840" w:hRule="atLeast"/>
        </w:trPr>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3</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买里塔木6村</w:t>
            </w:r>
          </w:p>
        </w:tc>
        <w:tc>
          <w:tcPr>
            <w:tcW w:w="4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建设餐厅与商店一体40平方米</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6.00 </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村党工委书记/扶贫书记</w:t>
            </w:r>
          </w:p>
        </w:tc>
      </w:tr>
      <w:tr>
        <w:tblPrEx>
          <w:tblLayout w:type="fixed"/>
          <w:tblCellMar>
            <w:top w:w="15" w:type="dxa"/>
            <w:left w:w="15" w:type="dxa"/>
            <w:bottom w:w="15" w:type="dxa"/>
            <w:right w:w="15" w:type="dxa"/>
          </w:tblCellMar>
        </w:tblPrEx>
        <w:trPr>
          <w:trHeight w:val="840" w:hRule="atLeast"/>
        </w:trPr>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4</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乔木仑5村</w:t>
            </w:r>
          </w:p>
        </w:tc>
        <w:tc>
          <w:tcPr>
            <w:tcW w:w="4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  100平米公共浴室(洗澡间及配套设施）</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20.00 </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村党工委书记/扶贫书记</w:t>
            </w:r>
          </w:p>
        </w:tc>
      </w:tr>
      <w:tr>
        <w:tblPrEx>
          <w:tblLayout w:type="fixed"/>
          <w:tblCellMar>
            <w:top w:w="15" w:type="dxa"/>
            <w:left w:w="15" w:type="dxa"/>
            <w:bottom w:w="15" w:type="dxa"/>
            <w:right w:w="15" w:type="dxa"/>
          </w:tblCellMar>
        </w:tblPrEx>
        <w:trPr>
          <w:trHeight w:val="840" w:hRule="atLeast"/>
        </w:trPr>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5</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铁提尔美其特9村</w:t>
            </w:r>
          </w:p>
        </w:tc>
        <w:tc>
          <w:tcPr>
            <w:tcW w:w="4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和谐村畜牧养殖合作社11KW草料粉碎机1台，22kw秸秆粉碎机1台，50kw变压器1台及附属设备安装，低压线路400米，配电柜一台，高压计量设备+附控、断路器</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10.00 </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村党工委书记/扶贫书记</w:t>
            </w:r>
          </w:p>
        </w:tc>
      </w:tr>
      <w:tr>
        <w:tblPrEx>
          <w:tblLayout w:type="fixed"/>
          <w:tblCellMar>
            <w:top w:w="15" w:type="dxa"/>
            <w:left w:w="15" w:type="dxa"/>
            <w:bottom w:w="15" w:type="dxa"/>
            <w:right w:w="15" w:type="dxa"/>
          </w:tblCellMar>
        </w:tblPrEx>
        <w:trPr>
          <w:trHeight w:val="840" w:hRule="atLeast"/>
        </w:trPr>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6</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托努其14村</w:t>
            </w:r>
          </w:p>
        </w:tc>
        <w:tc>
          <w:tcPr>
            <w:tcW w:w="4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新建40平米商铺</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5.68 </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村党工委书记/扶贫书记</w:t>
            </w:r>
          </w:p>
        </w:tc>
      </w:tr>
      <w:tr>
        <w:tblPrEx>
          <w:tblLayout w:type="fixed"/>
          <w:tblCellMar>
            <w:top w:w="15" w:type="dxa"/>
            <w:left w:w="15" w:type="dxa"/>
            <w:bottom w:w="15" w:type="dxa"/>
            <w:right w:w="15" w:type="dxa"/>
          </w:tblCellMar>
        </w:tblPrEx>
        <w:trPr>
          <w:trHeight w:val="286" w:hRule="atLeast"/>
        </w:trPr>
        <w:tc>
          <w:tcPr>
            <w:tcW w:w="6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spacing w:line="570" w:lineRule="exact"/>
              <w:jc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合计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570" w:lineRule="exact"/>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58.88 </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spacing w:line="570" w:lineRule="exact"/>
              <w:jc w:val="center"/>
              <w:rPr>
                <w:rFonts w:hint="eastAsia" w:ascii="仿宋" w:hAnsi="仿宋" w:eastAsia="仿宋" w:cs="仿宋"/>
                <w:color w:val="000000"/>
                <w:sz w:val="22"/>
                <w:szCs w:val="22"/>
              </w:rPr>
            </w:pPr>
          </w:p>
        </w:tc>
      </w:tr>
    </w:tbl>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firstLineChars="200"/>
        <w:rPr>
          <w:rFonts w:hint="eastAsia" w:ascii="仿宋" w:hAnsi="仿宋" w:eastAsia="仿宋" w:cs="仿宋"/>
          <w:color w:val="000000"/>
          <w:sz w:val="32"/>
          <w:szCs w:val="32"/>
          <w:lang w:bidi="ar"/>
        </w:rPr>
      </w:pP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firstLineChars="200"/>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（三）项目资金管理情况分析</w:t>
      </w: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firstLineChars="200"/>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我乡专项经费在使用过程中，严格按照自治区及地区的财务管理制度，接待管理制度、采购制度，资金走国库集中支付报账制。</w:t>
      </w:r>
    </w:p>
    <w:p>
      <w:pPr>
        <w:keepNext w:val="0"/>
        <w:keepLines w:val="0"/>
        <w:pageBreakBefore w:val="0"/>
        <w:kinsoku/>
        <w:wordWrap/>
        <w:overflowPunct/>
        <w:topLinePunct w:val="0"/>
        <w:autoSpaceDE/>
        <w:autoSpaceDN/>
        <w:bidi w:val="0"/>
        <w:spacing w:line="570" w:lineRule="exact"/>
        <w:ind w:firstLine="640" w:firstLineChars="200"/>
        <w:jc w:val="left"/>
        <w:rPr>
          <w:rFonts w:hint="eastAsia" w:ascii="仿宋" w:hAnsi="仿宋" w:eastAsia="仿宋" w:cs="仿宋"/>
          <w:bCs/>
          <w:kern w:val="44"/>
          <w:sz w:val="32"/>
          <w:szCs w:val="32"/>
        </w:rPr>
      </w:pPr>
      <w:r>
        <w:rPr>
          <w:rFonts w:hint="eastAsia" w:ascii="仿宋" w:hAnsi="仿宋" w:eastAsia="仿宋" w:cs="仿宋"/>
          <w:bCs/>
          <w:kern w:val="44"/>
          <w:sz w:val="32"/>
          <w:szCs w:val="32"/>
        </w:rPr>
        <w:t>三、项目组织实施及管理情况</w:t>
      </w: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项目由乡政府管理建设，监督项目进度及资金支出进度；工作队负责项目实施，保证项目手续齐全；乡财务人员根据工程进度严格执行报账制度进行支付。</w:t>
      </w:r>
    </w:p>
    <w:p>
      <w:pPr>
        <w:keepNext w:val="0"/>
        <w:keepLines w:val="0"/>
        <w:pageBreakBefore w:val="0"/>
        <w:kinsoku/>
        <w:wordWrap/>
        <w:overflowPunct/>
        <w:topLinePunct w:val="0"/>
        <w:autoSpaceDE/>
        <w:autoSpaceDN/>
        <w:bidi w:val="0"/>
        <w:spacing w:line="570" w:lineRule="exact"/>
        <w:rPr>
          <w:rFonts w:hint="eastAsia" w:ascii="仿宋" w:hAnsi="仿宋" w:eastAsia="仿宋" w:cs="仿宋"/>
          <w:color w:val="000000"/>
          <w:sz w:val="32"/>
          <w:szCs w:val="32"/>
        </w:rPr>
      </w:pPr>
      <w:r>
        <w:rPr>
          <w:rFonts w:hint="eastAsia" w:ascii="仿宋" w:hAnsi="仿宋" w:eastAsia="仿宋" w:cs="仿宋"/>
          <w:color w:val="000000"/>
          <w:sz w:val="32"/>
          <w:szCs w:val="32"/>
        </w:rPr>
        <w:t>（一）项目绩效情况</w:t>
      </w:r>
    </w:p>
    <w:p>
      <w:pPr>
        <w:keepNext w:val="0"/>
        <w:keepLines w:val="0"/>
        <w:pageBreakBefore w:val="0"/>
        <w:kinsoku/>
        <w:wordWrap/>
        <w:overflowPunct/>
        <w:topLinePunct w:val="0"/>
        <w:autoSpaceDE/>
        <w:autoSpaceDN/>
        <w:bidi w:val="0"/>
        <w:spacing w:line="570" w:lineRule="exact"/>
        <w:ind w:left="1000" w:hanging="360"/>
        <w:rPr>
          <w:rFonts w:hint="eastAsia" w:ascii="仿宋" w:hAnsi="仿宋" w:eastAsia="仿宋" w:cs="仿宋"/>
          <w:color w:val="000000"/>
          <w:sz w:val="32"/>
          <w:szCs w:val="32"/>
        </w:rPr>
      </w:pPr>
      <w:r>
        <w:rPr>
          <w:rFonts w:hint="eastAsia" w:ascii="仿宋" w:hAnsi="仿宋" w:eastAsia="仿宋" w:cs="仿宋"/>
          <w:color w:val="000000"/>
          <w:sz w:val="32"/>
          <w:szCs w:val="32"/>
        </w:rPr>
        <w:t>1. 项目经济性分析</w:t>
      </w: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该项目资金坚持量入为出的原则，资金使用总额控制在58.88万元。</w:t>
      </w:r>
    </w:p>
    <w:p>
      <w:pPr>
        <w:keepNext w:val="0"/>
        <w:keepLines w:val="0"/>
        <w:pageBreakBefore w:val="0"/>
        <w:kinsoku/>
        <w:wordWrap/>
        <w:overflowPunct/>
        <w:topLinePunct w:val="0"/>
        <w:autoSpaceDE/>
        <w:autoSpaceDN/>
        <w:bidi w:val="0"/>
        <w:spacing w:line="570" w:lineRule="exact"/>
        <w:ind w:left="1000" w:hanging="360"/>
        <w:rPr>
          <w:rFonts w:hint="eastAsia" w:ascii="仿宋" w:hAnsi="仿宋" w:eastAsia="仿宋" w:cs="仿宋"/>
          <w:color w:val="000000"/>
          <w:sz w:val="32"/>
          <w:szCs w:val="32"/>
        </w:rPr>
      </w:pPr>
      <w:r>
        <w:rPr>
          <w:rFonts w:hint="eastAsia" w:ascii="仿宋" w:hAnsi="仿宋" w:eastAsia="仿宋" w:cs="仿宋"/>
          <w:color w:val="000000"/>
          <w:sz w:val="32"/>
          <w:szCs w:val="32"/>
        </w:rPr>
        <w:t>2. 项目的效率性分析</w:t>
      </w: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通过合理的对财、物资源的投入使用，以双向受益为目的，降低成本。提高工作效率，更好的体现经济效益。使扶贫资金发挥更大效益。</w:t>
      </w: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经济效益。此项目受益村民56人，11间公共基础设施建设为村民村民生活提供了方便，畜牧合作社的建设为带动贫困户积极加盟养殖合作社提供了现实条件，公共浴室的假设将为村民形成讲卫生的好习惯和预防疾病的发生打下基础。</w:t>
      </w:r>
    </w:p>
    <w:p>
      <w:pPr>
        <w:keepNext w:val="0"/>
        <w:keepLines w:val="0"/>
        <w:pageBreakBefore w:val="0"/>
        <w:kinsoku/>
        <w:wordWrap/>
        <w:overflowPunct/>
        <w:topLinePunct w:val="0"/>
        <w:autoSpaceDE/>
        <w:autoSpaceDN/>
        <w:bidi w:val="0"/>
        <w:spacing w:line="570" w:lineRule="exact"/>
        <w:ind w:left="1000" w:hanging="360"/>
        <w:rPr>
          <w:rFonts w:hint="eastAsia" w:ascii="仿宋" w:hAnsi="仿宋" w:eastAsia="仿宋" w:cs="仿宋"/>
          <w:color w:val="000000"/>
          <w:sz w:val="32"/>
          <w:szCs w:val="32"/>
        </w:rPr>
      </w:pPr>
      <w:r>
        <w:rPr>
          <w:rFonts w:hint="eastAsia" w:ascii="仿宋" w:hAnsi="仿宋" w:eastAsia="仿宋" w:cs="仿宋"/>
          <w:color w:val="000000"/>
          <w:sz w:val="32"/>
          <w:szCs w:val="32"/>
        </w:rPr>
        <w:t>3. 项目的可持续性分析</w:t>
      </w: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 xml:space="preserve"> 鼓励农村无劳动力或者无法外出就业劳动力就地就业创业是脱贫攻坚任务的重中之重，乡村振兴战略对现代农村的公共基础服务提出了更高要求，小商铺和浴室建设为贫困户创业坚定了信心，在当今农业生产量化的背景下，就如何积极引导贫困户通过积极创业走上脱贫之路已是必然之势，而此次小商铺建设和公共浴室建设不仅增加了贫困户收入，而且也对农村村容村貌改善起了积极作用。</w:t>
      </w:r>
    </w:p>
    <w:p>
      <w:pPr>
        <w:keepNext w:val="0"/>
        <w:keepLines w:val="0"/>
        <w:pageBreakBefore w:val="0"/>
        <w:kinsoku/>
        <w:wordWrap/>
        <w:overflowPunct/>
        <w:topLinePunct w:val="0"/>
        <w:autoSpaceDE/>
        <w:autoSpaceDN/>
        <w:bidi w:val="0"/>
        <w:spacing w:line="570" w:lineRule="exact"/>
        <w:ind w:firstLine="640" w:firstLineChars="200"/>
        <w:jc w:val="left"/>
        <w:rPr>
          <w:rFonts w:hint="eastAsia" w:ascii="仿宋" w:hAnsi="仿宋" w:eastAsia="仿宋" w:cs="仿宋"/>
          <w:bCs/>
          <w:kern w:val="44"/>
          <w:sz w:val="32"/>
          <w:szCs w:val="32"/>
        </w:rPr>
      </w:pPr>
      <w:r>
        <w:rPr>
          <w:rFonts w:hint="eastAsia" w:ascii="仿宋" w:hAnsi="仿宋" w:eastAsia="仿宋" w:cs="仿宋"/>
          <w:bCs/>
          <w:kern w:val="44"/>
          <w:sz w:val="32"/>
          <w:szCs w:val="32"/>
          <w:lang w:eastAsia="zh-CN"/>
        </w:rPr>
        <w:t>四、</w:t>
      </w:r>
      <w:r>
        <w:rPr>
          <w:rFonts w:hint="eastAsia" w:ascii="仿宋" w:hAnsi="仿宋" w:eastAsia="仿宋" w:cs="仿宋"/>
          <w:bCs/>
          <w:kern w:val="44"/>
          <w:sz w:val="32"/>
          <w:szCs w:val="32"/>
        </w:rPr>
        <w:t>主要经验及做法</w:t>
      </w:r>
      <w:r>
        <w:rPr>
          <w:rFonts w:hint="eastAsia" w:ascii="仿宋" w:hAnsi="仿宋" w:eastAsia="仿宋" w:cs="仿宋"/>
          <w:bCs/>
          <w:kern w:val="44"/>
          <w:sz w:val="32"/>
          <w:szCs w:val="32"/>
          <w:lang w:eastAsia="zh-CN"/>
        </w:rPr>
        <w:t>、意见</w:t>
      </w:r>
      <w:r>
        <w:rPr>
          <w:rFonts w:hint="eastAsia" w:ascii="仿宋" w:hAnsi="仿宋" w:eastAsia="仿宋" w:cs="仿宋"/>
          <w:bCs/>
          <w:kern w:val="44"/>
          <w:sz w:val="32"/>
          <w:szCs w:val="32"/>
        </w:rPr>
        <w:t>建议</w:t>
      </w:r>
    </w:p>
    <w:p>
      <w:pPr>
        <w:keepNext w:val="0"/>
        <w:keepLines w:val="0"/>
        <w:pageBreakBefore w:val="0"/>
        <w:kinsoku/>
        <w:wordWrap/>
        <w:overflowPunct/>
        <w:topLinePunct w:val="0"/>
        <w:autoSpaceDE/>
        <w:autoSpaceDN/>
        <w:bidi w:val="0"/>
        <w:spacing w:line="570" w:lineRule="exact"/>
        <w:ind w:left="1000" w:hanging="360"/>
        <w:rPr>
          <w:rFonts w:hint="eastAsia" w:ascii="仿宋" w:hAnsi="仿宋" w:eastAsia="仿宋" w:cs="仿宋"/>
          <w:color w:val="000000"/>
          <w:sz w:val="32"/>
          <w:szCs w:val="32"/>
        </w:rPr>
      </w:pPr>
      <w:r>
        <w:rPr>
          <w:rFonts w:hint="eastAsia" w:ascii="仿宋" w:hAnsi="仿宋" w:eastAsia="仿宋" w:cs="仿宋"/>
          <w:color w:val="000000"/>
          <w:sz w:val="32"/>
          <w:szCs w:val="32"/>
        </w:rPr>
        <w:t>1、主要经验及做法</w:t>
      </w:r>
    </w:p>
    <w:p>
      <w:pPr>
        <w:keepNext w:val="0"/>
        <w:keepLines w:val="0"/>
        <w:pageBreakBefore w:val="0"/>
        <w:kinsoku/>
        <w:wordWrap/>
        <w:overflowPunct/>
        <w:topLinePunct w:val="0"/>
        <w:autoSpaceDE/>
        <w:autoSpaceDN/>
        <w:bidi w:val="0"/>
        <w:adjustRightInd w:val="0"/>
        <w:snapToGrid w:val="0"/>
        <w:spacing w:line="57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项目确定后</w:t>
      </w:r>
      <w:r>
        <w:rPr>
          <w:rFonts w:hint="eastAsia" w:ascii="仿宋" w:hAnsi="仿宋" w:eastAsia="仿宋" w:cs="仿宋"/>
          <w:color w:val="000000"/>
          <w:sz w:val="32"/>
          <w:szCs w:val="32"/>
          <w:lang w:bidi="ar"/>
        </w:rPr>
        <w:t>克孜勒乡人民政府扶贫中心主办</w:t>
      </w:r>
      <w:r>
        <w:rPr>
          <w:rFonts w:hint="eastAsia" w:ascii="仿宋" w:hAnsi="仿宋" w:eastAsia="仿宋" w:cs="仿宋"/>
          <w:color w:val="000000"/>
          <w:sz w:val="32"/>
          <w:szCs w:val="32"/>
          <w:lang w:eastAsia="zh-CN" w:bidi="ar"/>
        </w:rPr>
        <w:t>，</w:t>
      </w:r>
      <w:r>
        <w:rPr>
          <w:rFonts w:hint="eastAsia" w:ascii="仿宋" w:hAnsi="仿宋" w:eastAsia="仿宋" w:cs="仿宋"/>
          <w:color w:val="000000"/>
          <w:sz w:val="32"/>
          <w:szCs w:val="32"/>
          <w:lang w:bidi="ar"/>
        </w:rPr>
        <w:t>县扶贫开放领导小组主要指导，英吉沙县财政局农财股监督资金使用，全力配合，多方协同，</w:t>
      </w:r>
      <w:r>
        <w:rPr>
          <w:rFonts w:hint="eastAsia" w:ascii="仿宋" w:hAnsi="仿宋" w:eastAsia="仿宋" w:cs="仿宋"/>
          <w:color w:val="000000"/>
          <w:sz w:val="32"/>
          <w:szCs w:val="32"/>
        </w:rPr>
        <w:t>细化责任分工，确保项目有序推进。</w:t>
      </w:r>
    </w:p>
    <w:p>
      <w:pPr>
        <w:keepNext w:val="0"/>
        <w:keepLines w:val="0"/>
        <w:pageBreakBefore w:val="0"/>
        <w:kinsoku/>
        <w:wordWrap/>
        <w:overflowPunct/>
        <w:topLinePunct w:val="0"/>
        <w:autoSpaceDE/>
        <w:autoSpaceDN/>
        <w:bidi w:val="0"/>
        <w:spacing w:line="57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eastAsia="zh-CN"/>
        </w:rPr>
        <w:t>意见</w:t>
      </w:r>
      <w:r>
        <w:rPr>
          <w:rFonts w:hint="eastAsia" w:ascii="仿宋" w:hAnsi="仿宋" w:eastAsia="仿宋" w:cs="仿宋"/>
          <w:color w:val="000000"/>
          <w:sz w:val="32"/>
          <w:szCs w:val="32"/>
        </w:rPr>
        <w:t>建议</w:t>
      </w: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firstLineChars="200"/>
        <w:jc w:val="both"/>
        <w:rPr>
          <w:rFonts w:hint="eastAsia" w:ascii="仿宋" w:hAnsi="仿宋" w:eastAsia="仿宋" w:cs="仿宋"/>
          <w:color w:val="000000"/>
          <w:sz w:val="32"/>
          <w:szCs w:val="32"/>
          <w:lang w:bidi="ar"/>
        </w:rPr>
      </w:pPr>
      <w:r>
        <w:rPr>
          <w:rFonts w:hint="eastAsia" w:ascii="仿宋" w:hAnsi="仿宋" w:eastAsia="仿宋" w:cs="仿宋"/>
          <w:color w:val="000000"/>
          <w:kern w:val="2"/>
          <w:sz w:val="32"/>
          <w:szCs w:val="32"/>
        </w:rPr>
        <w:t>加大宣传力度，提高老百姓的认识，鼓励并建议大家合</w:t>
      </w:r>
      <w:r>
        <w:rPr>
          <w:rFonts w:hint="eastAsia" w:ascii="仿宋" w:hAnsi="仿宋" w:eastAsia="仿宋" w:cs="仿宋"/>
          <w:color w:val="000000"/>
          <w:sz w:val="32"/>
          <w:szCs w:val="32"/>
          <w:lang w:bidi="ar"/>
        </w:rPr>
        <w:t>理使用机械，加大宣传力度，</w:t>
      </w:r>
      <w:bookmarkStart w:id="0" w:name="_GoBack"/>
      <w:bookmarkEnd w:id="0"/>
      <w:r>
        <w:rPr>
          <w:rFonts w:hint="eastAsia" w:ascii="仿宋" w:hAnsi="仿宋" w:eastAsia="仿宋" w:cs="仿宋"/>
          <w:color w:val="000000"/>
          <w:sz w:val="32"/>
          <w:szCs w:val="32"/>
          <w:lang w:bidi="ar"/>
        </w:rPr>
        <w:t>工作队加强宣传引导。并且加大对技术人员的培养，从贫困户就业、大家受益方面促使合作社长远发挥效益。</w:t>
      </w: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firstLineChars="200"/>
        <w:jc w:val="both"/>
        <w:rPr>
          <w:rFonts w:hint="eastAsia" w:ascii="仿宋" w:hAnsi="仿宋" w:eastAsia="仿宋" w:cs="仿宋"/>
          <w:color w:val="000000"/>
          <w:sz w:val="32"/>
          <w:szCs w:val="32"/>
          <w:lang w:bidi="ar"/>
        </w:rPr>
      </w:pP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firstLineChars="200"/>
        <w:jc w:val="both"/>
        <w:rPr>
          <w:rFonts w:hint="eastAsia" w:ascii="仿宋" w:hAnsi="仿宋" w:eastAsia="仿宋" w:cs="仿宋"/>
          <w:color w:val="000000"/>
          <w:sz w:val="32"/>
          <w:szCs w:val="32"/>
          <w:lang w:bidi="ar"/>
        </w:rPr>
      </w:pP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firstLineChars="200"/>
        <w:jc w:val="both"/>
        <w:rPr>
          <w:rFonts w:hint="eastAsia" w:ascii="仿宋" w:hAnsi="仿宋" w:eastAsia="仿宋" w:cs="仿宋"/>
          <w:color w:val="000000"/>
          <w:sz w:val="32"/>
          <w:szCs w:val="32"/>
          <w:lang w:bidi="ar"/>
        </w:rPr>
      </w:pP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firstLineChars="200"/>
        <w:jc w:val="both"/>
        <w:rPr>
          <w:rFonts w:hint="eastAsia" w:ascii="仿宋" w:hAnsi="仿宋" w:eastAsia="仿宋" w:cs="仿宋"/>
          <w:color w:val="000000"/>
          <w:sz w:val="32"/>
          <w:szCs w:val="32"/>
          <w:lang w:bidi="ar"/>
        </w:rPr>
      </w:pP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firstLineChars="200"/>
        <w:jc w:val="both"/>
        <w:rPr>
          <w:rFonts w:hint="eastAsia" w:ascii="仿宋" w:hAnsi="仿宋" w:eastAsia="仿宋" w:cs="仿宋"/>
          <w:color w:val="000000"/>
          <w:sz w:val="32"/>
          <w:szCs w:val="32"/>
          <w:lang w:bidi="ar"/>
        </w:rPr>
      </w:pP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firstLineChars="200"/>
        <w:jc w:val="both"/>
        <w:rPr>
          <w:rFonts w:hint="eastAsia" w:ascii="仿宋" w:hAnsi="仿宋" w:eastAsia="仿宋" w:cs="仿宋"/>
          <w:color w:val="000000"/>
          <w:sz w:val="32"/>
          <w:szCs w:val="32"/>
          <w:lang w:bidi="ar"/>
        </w:rPr>
      </w:pPr>
    </w:p>
    <w:p>
      <w:pPr>
        <w:pStyle w:val="5"/>
        <w:keepNext w:val="0"/>
        <w:keepLines w:val="0"/>
        <w:pageBreakBefore w:val="0"/>
        <w:widowControl/>
        <w:kinsoku/>
        <w:wordWrap/>
        <w:overflowPunct/>
        <w:topLinePunct w:val="0"/>
        <w:autoSpaceDE/>
        <w:autoSpaceDN/>
        <w:bidi w:val="0"/>
        <w:spacing w:before="0" w:beforeAutospacing="0" w:after="0" w:afterAutospacing="0" w:line="570" w:lineRule="exact"/>
        <w:ind w:firstLine="640" w:firstLineChars="200"/>
        <w:jc w:val="both"/>
        <w:rPr>
          <w:rFonts w:hint="eastAsia" w:ascii="仿宋" w:hAnsi="仿宋" w:eastAsia="仿宋" w:cs="仿宋"/>
          <w:color w:val="000000"/>
          <w:sz w:val="32"/>
          <w:szCs w:val="32"/>
          <w:lang w:bidi="ar"/>
        </w:rPr>
      </w:pPr>
    </w:p>
    <w:p>
      <w:pPr>
        <w:pStyle w:val="5"/>
        <w:keepNext w:val="0"/>
        <w:keepLines w:val="0"/>
        <w:pageBreakBefore w:val="0"/>
        <w:widowControl/>
        <w:kinsoku/>
        <w:wordWrap/>
        <w:overflowPunct/>
        <w:topLinePunct w:val="0"/>
        <w:autoSpaceDE/>
        <w:autoSpaceDN/>
        <w:bidi w:val="0"/>
        <w:spacing w:before="0" w:beforeAutospacing="0" w:after="0" w:afterAutospacing="0" w:line="570" w:lineRule="exact"/>
        <w:jc w:val="both"/>
        <w:rPr>
          <w:rFonts w:hint="eastAsia" w:ascii="仿宋" w:hAnsi="仿宋" w:eastAsia="仿宋" w:cs="仿宋"/>
          <w:color w:val="000000"/>
          <w:sz w:val="32"/>
          <w:szCs w:val="32"/>
          <w:lang w:bidi="ar"/>
        </w:rPr>
      </w:pPr>
    </w:p>
    <w:p>
      <w:pPr>
        <w:keepNext w:val="0"/>
        <w:keepLines w:val="0"/>
        <w:pageBreakBefore w:val="0"/>
        <w:tabs>
          <w:tab w:val="left" w:pos="7272"/>
        </w:tabs>
        <w:kinsoku/>
        <w:wordWrap/>
        <w:overflowPunct/>
        <w:topLinePunct w:val="0"/>
        <w:autoSpaceDE/>
        <w:autoSpaceDN/>
        <w:bidi w:val="0"/>
        <w:spacing w:line="570" w:lineRule="exact"/>
        <w:ind w:firstLine="640"/>
        <w:jc w:val="left"/>
        <w:rPr>
          <w:rFonts w:hint="eastAsia" w:ascii="仿宋" w:hAnsi="仿宋" w:eastAsia="仿宋" w:cs="仿宋"/>
          <w:sz w:val="32"/>
          <w:szCs w:val="32"/>
        </w:rPr>
      </w:pPr>
    </w:p>
    <w:p>
      <w:pPr>
        <w:keepNext w:val="0"/>
        <w:keepLines w:val="0"/>
        <w:pageBreakBefore w:val="0"/>
        <w:tabs>
          <w:tab w:val="left" w:pos="7272"/>
        </w:tabs>
        <w:kinsoku/>
        <w:wordWrap/>
        <w:overflowPunct/>
        <w:topLinePunct w:val="0"/>
        <w:autoSpaceDE/>
        <w:autoSpaceDN/>
        <w:bidi w:val="0"/>
        <w:spacing w:line="570" w:lineRule="exact"/>
        <w:ind w:firstLine="640"/>
        <w:jc w:val="left"/>
        <w:rPr>
          <w:rFonts w:hint="eastAsia" w:ascii="仿宋" w:hAnsi="仿宋" w:eastAsia="仿宋" w:cs="仿宋"/>
          <w:sz w:val="32"/>
          <w:szCs w:val="32"/>
        </w:rPr>
      </w:pPr>
      <w:r>
        <w:rPr>
          <w:rFonts w:hint="eastAsia" w:ascii="仿宋" w:hAnsi="仿宋" w:eastAsia="仿宋" w:cs="仿宋"/>
          <w:sz w:val="32"/>
          <w:szCs w:val="32"/>
        </w:rPr>
        <w:t xml:space="preserve">                             英吉沙县扶贫办</w:t>
      </w:r>
    </w:p>
    <w:p>
      <w:pPr>
        <w:keepNext w:val="0"/>
        <w:keepLines w:val="0"/>
        <w:pageBreakBefore w:val="0"/>
        <w:tabs>
          <w:tab w:val="left" w:pos="7272"/>
        </w:tabs>
        <w:kinsoku/>
        <w:wordWrap/>
        <w:overflowPunct/>
        <w:topLinePunct w:val="0"/>
        <w:autoSpaceDE/>
        <w:autoSpaceDN/>
        <w:bidi w:val="0"/>
        <w:spacing w:line="570" w:lineRule="exact"/>
        <w:ind w:firstLine="640"/>
        <w:jc w:val="left"/>
        <w:rPr>
          <w:rFonts w:hint="eastAsia" w:ascii="仿宋" w:hAnsi="仿宋" w:eastAsia="仿宋" w:cs="仿宋"/>
          <w:sz w:val="30"/>
          <w:szCs w:val="30"/>
        </w:rPr>
      </w:pPr>
      <w:r>
        <w:rPr>
          <w:rFonts w:hint="eastAsia" w:ascii="仿宋" w:hAnsi="仿宋" w:eastAsia="仿宋" w:cs="仿宋"/>
          <w:sz w:val="32"/>
          <w:szCs w:val="32"/>
        </w:rPr>
        <w:t xml:space="preserve">                            2018年 1</w:t>
      </w:r>
      <w:r>
        <w:rPr>
          <w:rFonts w:hint="eastAsia" w:ascii="仿宋" w:hAnsi="仿宋" w:eastAsia="仿宋" w:cs="仿宋"/>
          <w:sz w:val="32"/>
          <w:szCs w:val="32"/>
          <w:lang w:val="en-US" w:eastAsia="zh-CN"/>
        </w:rPr>
        <w:t>2</w:t>
      </w:r>
      <w:r>
        <w:rPr>
          <w:rFonts w:hint="eastAsia" w:ascii="仿宋" w:hAnsi="仿宋" w:eastAsia="仿宋" w:cs="仿宋"/>
          <w:sz w:val="32"/>
          <w:szCs w:val="32"/>
        </w:rPr>
        <w:t>月</w:t>
      </w:r>
      <w:r>
        <w:rPr>
          <w:rFonts w:hint="eastAsia" w:ascii="仿宋" w:hAnsi="仿宋" w:eastAsia="仿宋" w:cs="仿宋"/>
          <w:sz w:val="32"/>
          <w:szCs w:val="32"/>
          <w:lang w:val="en-US" w:eastAsia="zh-CN"/>
        </w:rPr>
        <w:t>28</w:t>
      </w:r>
      <w:r>
        <w:rPr>
          <w:rFonts w:hint="eastAsia" w:ascii="仿宋" w:hAnsi="仿宋" w:eastAsia="仿宋" w:cs="仿宋"/>
          <w:sz w:val="32"/>
          <w:szCs w:val="32"/>
        </w:rPr>
        <w:t>日</w:t>
      </w:r>
    </w:p>
    <w:p>
      <w:pPr>
        <w:pStyle w:val="5"/>
        <w:keepNext w:val="0"/>
        <w:keepLines w:val="0"/>
        <w:pageBreakBefore w:val="0"/>
        <w:widowControl/>
        <w:kinsoku/>
        <w:wordWrap/>
        <w:overflowPunct/>
        <w:topLinePunct w:val="0"/>
        <w:autoSpaceDE/>
        <w:autoSpaceDN/>
        <w:bidi w:val="0"/>
        <w:spacing w:before="0" w:beforeAutospacing="0" w:after="0" w:afterAutospacing="0" w:line="570" w:lineRule="exact"/>
        <w:jc w:val="both"/>
        <w:rPr>
          <w:rFonts w:hint="eastAsia" w:ascii="仿宋" w:hAnsi="仿宋" w:eastAsia="仿宋" w:cs="仿宋"/>
          <w:color w:val="000000"/>
          <w:sz w:val="32"/>
          <w:szCs w:val="32"/>
          <w:lang w:bidi="ar"/>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FD1DA5"/>
    <w:rsid w:val="00371C11"/>
    <w:rsid w:val="0053742D"/>
    <w:rsid w:val="00BE5C5C"/>
    <w:rsid w:val="0BFD1DA5"/>
    <w:rsid w:val="1CF07C94"/>
    <w:rsid w:val="20C676C4"/>
    <w:rsid w:val="232A5AA4"/>
    <w:rsid w:val="3B965A5F"/>
    <w:rsid w:val="4B381940"/>
    <w:rsid w:val="5B0714D9"/>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9"/>
    <w:pPr>
      <w:keepNext/>
      <w:keepLines/>
      <w:spacing w:before="260" w:after="260" w:line="416" w:lineRule="auto"/>
      <w:outlineLvl w:val="2"/>
    </w:pPr>
    <w:rPr>
      <w:b/>
      <w:bCs/>
      <w:sz w:val="32"/>
      <w:szCs w:val="32"/>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jc w:val="left"/>
    </w:pPr>
    <w:rPr>
      <w:kern w:val="0"/>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5</Pages>
  <Words>292</Words>
  <Characters>1666</Characters>
  <Lines>13</Lines>
  <Paragraphs>3</Paragraphs>
  <TotalTime>0</TotalTime>
  <ScaleCrop>false</ScaleCrop>
  <LinksUpToDate>false</LinksUpToDate>
  <CharactersWithSpaces>1955</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2018-11-08T11:54:00Z</dcterms:created>
  <dc:creator>Captain Alex</dc:creator>
  <cp:lastModifiedBy>Administrator</cp:lastModifiedBy>
  <cp:lastPrinted>2019-04-11T03:10:00Z</cp:lastPrinted>
  <dcterms:modified xsi:type="dcterms:W3CDTF">2019-09-17T03:43:45Z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